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F9" w:rsidRPr="005E5BF9" w:rsidRDefault="005E5BF9" w:rsidP="005E5B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ANEXA Nr. 15 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>CASA NAŢIONALĂ DE PENSII PUBLICE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>CASA TERITORIALĂ DE PENSII |_|_|_|_|_|_|_|_|_|_|_|_I</w:t>
      </w:r>
    </w:p>
    <w:p w:rsidR="005E5BF9" w:rsidRPr="005E5BF9" w:rsidRDefault="005E5BF9" w:rsidP="005E5B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CONTRACT DE ASIGURARE </w:t>
      </w:r>
      <w:proofErr w:type="gramStart"/>
      <w:r w:rsidRPr="005E5BF9">
        <w:rPr>
          <w:rFonts w:ascii="Times New Roman" w:eastAsia="Times New Roman" w:hAnsi="Times New Roman" w:cs="Times New Roman"/>
          <w:b/>
          <w:bCs/>
          <w:sz w:val="24"/>
          <w:szCs w:val="24"/>
        </w:rPr>
        <w:t>SOCIALĂ</w:t>
      </w:r>
      <w:r w:rsidRPr="005E5BF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Nr. |_|_|_|_|_|_I din </w:t>
      </w:r>
      <w:proofErr w:type="spellStart"/>
      <w:r w:rsidRPr="005E5BF9">
        <w:rPr>
          <w:rFonts w:ascii="Times New Roman" w:eastAsia="Times New Roman" w:hAnsi="Times New Roman" w:cs="Times New Roman"/>
          <w:b/>
          <w:bCs/>
          <w:sz w:val="24"/>
          <w:szCs w:val="24"/>
        </w:rPr>
        <w:t>ziua</w:t>
      </w:r>
      <w:proofErr w:type="spellEnd"/>
      <w:r w:rsidRPr="005E5B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|_|_|, </w:t>
      </w:r>
      <w:proofErr w:type="spellStart"/>
      <w:r w:rsidRPr="005E5BF9">
        <w:rPr>
          <w:rFonts w:ascii="Times New Roman" w:eastAsia="Times New Roman" w:hAnsi="Times New Roman" w:cs="Times New Roman"/>
          <w:b/>
          <w:bCs/>
          <w:sz w:val="24"/>
          <w:szCs w:val="24"/>
        </w:rPr>
        <w:t>luna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|_|_|, </w:t>
      </w:r>
      <w:proofErr w:type="spellStart"/>
      <w:r w:rsidRPr="005E5BF9">
        <w:rPr>
          <w:rFonts w:ascii="Times New Roman" w:eastAsia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5E5B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|_|_|_I_I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Încheiat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Casa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Teritorială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Pensii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denumită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continuare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Casa,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reprezentată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directorul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executiv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asigurător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>: |_|_|_|_|_|_|_|_|_|_|_|_|_|_|_|_|_|_I_I,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>str.: |_|_|_|_|_|_|_|_|_I nr. |_|_|_I_I,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>: |_|_|_|_|_|_|_|_|_|_|_|_|_|_|_|_|_|_|_|_|_|_|_|_|_|_|_|_|_|_|_|_|,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asigurat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codului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numeric personal |_|_|_|_|_|_|_|_|_|_|_|_I_I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actul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: . . . . . . . . . .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|_|_| nr. |_|_|_|_|_|_I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>: |_|_|_|_|_|_|_|_|_|_|_|_|_|_|,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>str. |_|_|_|_|_|_|_|_|_|_|_|_|_|_|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. |_|_|, bl. |_|_|, sc. |_|_|, </w:t>
      </w:r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>. |_|_|, ap. |_|_|_I_I,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oficiul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poştal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: |_|_|_|_|_|_|_|_|,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: |_|_|_|_|_|_I,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: |_|_|,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>: |_|_|_|_|_|_|_|_|_|_|_|_|_|_|,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e-mail: . . . . . . . . . .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asigurarea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public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pensii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reglementat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nr. . . . . . . . . . . </w:t>
      </w: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public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pensii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obţinerea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pensiei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limită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vârstă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completarea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venitului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asigurat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utilizat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calculul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intră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înregistrării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Casă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Venitul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lunar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asigurat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de*): |_|_|_I_I lei (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cifre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*)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Venitul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lunar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asigurat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mic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salariului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bază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minim brut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ţară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garantat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Cota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contribuţiei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de: |_|_|, |_|_|%.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Cuantumul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contribuţiei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de: |_|_|_|_|_|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Contul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plăteşte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contribuţia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deschis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trezorerie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seama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Casei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>: |_|_|_|_|_|_|_|_|_|_|_|_|_|_|_I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3.5. Plata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contribuţiei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contract, se face lunar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numerar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asigurat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asiguratului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casieria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Casei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mijloace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achitare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contribuţiei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[ ] lunar,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la data de 25 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lunii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următoare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celei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datorează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Plata se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anticipat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|_|_|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(maximum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lunilor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calculate de la data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intrării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sfârşitul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anului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calendaristic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Casei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valorificarea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pensiei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limită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vârstă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stagiului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cotizare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contract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socială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venitului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lunar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asigurat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constituit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calcul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contribuţiei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contract;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confirmarea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cererea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asiguratului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stagiului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cotizare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contract;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asiguratului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câte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venitul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lunar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asigurat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mic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minim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ca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modificării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act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normativ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nivelului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salariului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bază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minim brut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ţară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garantat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acordarea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ajutorului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deces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hyperlink r:id="rId5" w:anchor="p-551280204" w:tgtFrame="_blank" w:history="1">
        <w:r w:rsidRPr="005E5B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art. </w:t>
        </w:r>
        <w:proofErr w:type="gramStart"/>
        <w:r w:rsidRPr="005E5B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111</w:t>
        </w:r>
      </w:hyperlink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anchor="p-551280209" w:tgtFrame="_blank" w:history="1">
        <w:r w:rsidRPr="005E5B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112</w:t>
        </w:r>
      </w:hyperlink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asiguratului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achitarea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contribuţiei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cuantumul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hyperlink r:id="rId7" w:anchor="p-551280897" w:tgtFrame="_blank" w:history="1">
        <w:r w:rsidRPr="005E5B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pct. 3.6</w:t>
        </w:r>
      </w:hyperlink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contract;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5.2. </w:t>
      </w: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înştiinţarea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Casei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modificărilor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survenite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termenii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contract;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prezinte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Casei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solicitat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respectând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Stagiul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cotizare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contributiv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constituie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însumarea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lunilor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care s-a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datorat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plătit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contribuţia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denunţării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unilaterale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contribuţia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achitată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restituie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stagiul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cotizare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contributiv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denunţării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unilaterale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determină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raportarea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sumelor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plătite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cota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contribuţie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aplicată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salariul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bază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minim brut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ţară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garantat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valorifică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dreptului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pensie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limită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vârstă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asigurat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redobândeşte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încheierea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contract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socială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6.4.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socială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denunţa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unilateral,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oricând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din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iniţiativa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asiguratului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produce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efecte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înregistrării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Casă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solicitării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denunţării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unilaterale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6.5.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socială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reziliază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din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iniţiativa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Casei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neplăţii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contribuţiei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perioadă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3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consecutive. </w:t>
      </w: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se face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începând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ziua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următoare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celei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care s-a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plătit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contribuţia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6.6.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forţă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contractante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exonerate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neexecutarea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necorespunzătoare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asumate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contract.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forţă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dovedeşte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care o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invocă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6.7.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oricăror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prevederi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contract, cu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hyperlink r:id="rId8" w:anchor="p-551280903" w:tgtFrame="_blank" w:history="1">
        <w:r w:rsidRPr="005E5B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pct. 4.3</w:t>
        </w:r>
      </w:hyperlink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ambelor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act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adiţional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proofErr w:type="gramStart"/>
      <w:r w:rsidRPr="005E5BF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solicitată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cealaltă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parte,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derulează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anterioare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solicită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Litigiile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nesoluţionate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amiabilă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competenţa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secţiilor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completurilor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specializate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tribunalelor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curţilor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apel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soluţionează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instanţele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competente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încetează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decesului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F9">
        <w:rPr>
          <w:rFonts w:ascii="Times New Roman" w:eastAsia="Times New Roman" w:hAnsi="Times New Roman" w:cs="Times New Roman"/>
          <w:sz w:val="24"/>
          <w:szCs w:val="24"/>
        </w:rPr>
        <w:t>asiguratului</w:t>
      </w:r>
      <w:proofErr w:type="spellEnd"/>
      <w:r w:rsidRPr="005E5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BF9" w:rsidRDefault="005E5BF9" w:rsidP="005E5BF9">
      <w:pPr>
        <w:spacing w:before="100" w:beforeAutospacing="1" w:after="100" w:afterAutospacing="1" w:line="240" w:lineRule="auto"/>
      </w:pPr>
      <w:proofErr w:type="spellStart"/>
      <w:r>
        <w:t>Semnătura</w:t>
      </w:r>
      <w:proofErr w:type="spellEnd"/>
      <w:r>
        <w:t xml:space="preserve"> </w:t>
      </w:r>
      <w:proofErr w:type="spellStart"/>
      <w:proofErr w:type="gramStart"/>
      <w:r>
        <w:t>asiguratului</w:t>
      </w:r>
      <w:proofErr w:type="spellEnd"/>
      <w:r>
        <w:t>,</w:t>
      </w:r>
      <w:r>
        <w:br/>
        <w:t>. . . . . . . . . .</w:t>
      </w:r>
      <w:proofErr w:type="gramEnd"/>
    </w:p>
    <w:p w:rsidR="005E5BF9" w:rsidRPr="005E5BF9" w:rsidRDefault="005E5BF9" w:rsidP="005E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proofErr w:type="spellStart"/>
      <w:r>
        <w:t>Semnătura</w:t>
      </w:r>
      <w:proofErr w:type="spellEnd"/>
      <w:r>
        <w:t xml:space="preserve"> </w:t>
      </w:r>
      <w:proofErr w:type="spellStart"/>
      <w:proofErr w:type="gramStart"/>
      <w:r>
        <w:t>asigurătorului</w:t>
      </w:r>
      <w:proofErr w:type="spellEnd"/>
      <w:r>
        <w:t>,</w:t>
      </w:r>
      <w:r>
        <w:br/>
        <w:t>. . . . . . . . . .</w:t>
      </w:r>
      <w:proofErr w:type="gramEnd"/>
    </w:p>
    <w:tbl>
      <w:tblPr>
        <w:tblW w:w="5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2"/>
        <w:gridCol w:w="2523"/>
      </w:tblGrid>
      <w:tr w:rsidR="005E5BF9" w:rsidRPr="005E5BF9" w:rsidTr="005E5BF9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5E5BF9" w:rsidRPr="005E5BF9" w:rsidRDefault="005E5BF9" w:rsidP="005E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5BF9" w:rsidRPr="005E5BF9" w:rsidRDefault="005E5BF9" w:rsidP="005E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5E5BF9" w:rsidRPr="005E5BF9" w:rsidRDefault="005E5BF9" w:rsidP="005E5B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vanish/>
          <w:sz w:val="24"/>
          <w:szCs w:val="24"/>
        </w:rPr>
        <w:t xml:space="preserve">Compară: </w:t>
      </w:r>
      <w:hyperlink r:id="rId9" w:history="1">
        <w:r w:rsidRPr="005E5BF9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în paralel</w:t>
        </w:r>
      </w:hyperlink>
      <w:r w:rsidRPr="005E5BF9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  <w:hyperlink r:id="rId10" w:history="1">
        <w:r w:rsidRPr="005E5BF9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compact</w:t>
        </w:r>
      </w:hyperlink>
      <w:r w:rsidRPr="005E5BF9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</w:p>
    <w:p w:rsidR="005E5BF9" w:rsidRPr="005E5BF9" w:rsidRDefault="005E5BF9" w:rsidP="005E5B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11" w:history="1">
        <w:r w:rsidRPr="005E5BF9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inchide</w:t>
        </w:r>
      </w:hyperlink>
      <w:r w:rsidRPr="005E5BF9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</w:p>
    <w:p w:rsidR="005E5BF9" w:rsidRPr="005E5BF9" w:rsidRDefault="005E5BF9" w:rsidP="005E5B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sz w:val="36"/>
          <w:szCs w:val="36"/>
        </w:rPr>
      </w:pPr>
      <w:r w:rsidRPr="005E5BF9">
        <w:rPr>
          <w:rFonts w:ascii="Times New Roman" w:eastAsia="Times New Roman" w:hAnsi="Times New Roman" w:cs="Times New Roman"/>
          <w:b/>
          <w:bCs/>
          <w:vanish/>
          <w:sz w:val="36"/>
          <w:szCs w:val="36"/>
        </w:rPr>
        <w:t>Titlu</w:t>
      </w:r>
    </w:p>
    <w:p w:rsidR="005E5BF9" w:rsidRPr="005E5BF9" w:rsidRDefault="005E5BF9" w:rsidP="005E5B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vanish/>
          <w:sz w:val="24"/>
          <w:szCs w:val="24"/>
        </w:rPr>
        <w:t xml:space="preserve">Alias_preview </w:t>
      </w:r>
      <w:r w:rsidRPr="005E5BF9">
        <w:rPr>
          <w:rFonts w:ascii="Times New Roman" w:eastAsia="Times New Roman" w:hAnsi="Times New Roman" w:cs="Times New Roman"/>
          <w:vanish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99.45pt;height:39.45pt" o:ole="">
            <v:imagedata r:id="rId12" o:title=""/>
          </v:shape>
          <w:control r:id="rId13" w:name="DefaultOcxName5" w:shapeid="_x0000_i1063"/>
        </w:object>
      </w:r>
      <w:r w:rsidRPr="005E5BF9">
        <w:rPr>
          <w:rFonts w:ascii="Times New Roman" w:eastAsia="Times New Roman" w:hAnsi="Times New Roman" w:cs="Times New Roman"/>
          <w:vanish/>
          <w:sz w:val="24"/>
          <w:szCs w:val="24"/>
        </w:rPr>
        <w:t xml:space="preserve">Cuvinte cheie </w:t>
      </w:r>
      <w:r w:rsidRPr="005E5BF9">
        <w:rPr>
          <w:rFonts w:ascii="Times New Roman" w:eastAsia="Times New Roman" w:hAnsi="Times New Roman" w:cs="Times New Roman"/>
          <w:vanish/>
          <w:sz w:val="24"/>
          <w:szCs w:val="24"/>
        </w:rPr>
        <w:object w:dxaOrig="225" w:dyaOrig="225">
          <v:shape id="_x0000_i1062" type="#_x0000_t75" style="width:292.3pt;height:18pt" o:ole="">
            <v:imagedata r:id="rId14" o:title=""/>
          </v:shape>
          <w:control r:id="rId15" w:name="DefaultOcxName6" w:shapeid="_x0000_i1062"/>
        </w:object>
      </w:r>
      <w:r w:rsidRPr="005E5BF9">
        <w:rPr>
          <w:rFonts w:ascii="Times New Roman" w:eastAsia="Times New Roman" w:hAnsi="Times New Roman" w:cs="Times New Roman"/>
          <w:vanish/>
          <w:sz w:val="24"/>
          <w:szCs w:val="24"/>
        </w:rPr>
        <w:t xml:space="preserve">Adaugă Șterge </w:t>
      </w:r>
    </w:p>
    <w:p w:rsidR="005E5BF9" w:rsidRPr="005E5BF9" w:rsidRDefault="005E5BF9" w:rsidP="005E5B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E5BF9">
        <w:rPr>
          <w:rFonts w:ascii="Times New Roman" w:eastAsia="Times New Roman" w:hAnsi="Times New Roman" w:cs="Times New Roman"/>
          <w:vanish/>
          <w:sz w:val="24"/>
          <w:szCs w:val="24"/>
        </w:rPr>
        <w:object w:dxaOrig="225" w:dyaOrig="225">
          <v:shape id="_x0000_i1061" type="#_x0000_t75" style="width:46.3pt;height:22.3pt" o:ole="">
            <v:imagedata r:id="rId16" o:title=""/>
          </v:shape>
          <w:control r:id="rId17" w:name="DefaultOcxName7" w:shapeid="_x0000_i1061"/>
        </w:object>
      </w:r>
    </w:p>
    <w:p w:rsidR="005E5BF9" w:rsidRPr="005E5BF9" w:rsidRDefault="005E5BF9" w:rsidP="005E5B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18" w:tgtFrame="_blank" w:history="1">
        <w:r w:rsidRPr="005E5BF9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Listă cuvinte cheie</w:t>
        </w:r>
      </w:hyperlink>
      <w:r w:rsidRPr="005E5BF9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</w:p>
    <w:p w:rsidR="005E5BF9" w:rsidRPr="005E5BF9" w:rsidRDefault="005E5BF9" w:rsidP="005E5B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sz w:val="36"/>
          <w:szCs w:val="36"/>
        </w:rPr>
      </w:pPr>
      <w:r w:rsidRPr="005E5BF9">
        <w:rPr>
          <w:rFonts w:ascii="Times New Roman" w:eastAsia="Times New Roman" w:hAnsi="Times New Roman" w:cs="Times New Roman"/>
          <w:b/>
          <w:bCs/>
          <w:vanish/>
          <w:sz w:val="36"/>
          <w:szCs w:val="36"/>
        </w:rPr>
        <w:t>Caută în document</w:t>
      </w:r>
    </w:p>
    <w:sectPr w:rsidR="005E5BF9" w:rsidRPr="005E5BF9" w:rsidSect="00AF3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F95"/>
    <w:multiLevelType w:val="multilevel"/>
    <w:tmpl w:val="8FF2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71BD7"/>
    <w:multiLevelType w:val="multilevel"/>
    <w:tmpl w:val="6D3C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E1E12"/>
    <w:multiLevelType w:val="multilevel"/>
    <w:tmpl w:val="A16E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5E5BF9"/>
    <w:rsid w:val="00551DC6"/>
    <w:rsid w:val="005E5BF9"/>
    <w:rsid w:val="00AF3401"/>
    <w:rsid w:val="00B4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401"/>
  </w:style>
  <w:style w:type="paragraph" w:styleId="Heading2">
    <w:name w:val="heading 2"/>
    <w:basedOn w:val="Normal"/>
    <w:link w:val="Heading2Char"/>
    <w:uiPriority w:val="9"/>
    <w:qFormat/>
    <w:rsid w:val="005E5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5E5B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5B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E5BF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5E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5B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5BF9"/>
    <w:rPr>
      <w:color w:val="800080"/>
      <w:u w:val="single"/>
    </w:rPr>
  </w:style>
  <w:style w:type="character" w:customStyle="1" w:styleId="js-currentresult">
    <w:name w:val="js-current_result"/>
    <w:basedOn w:val="DefaultParagraphFont"/>
    <w:rsid w:val="005E5BF9"/>
  </w:style>
  <w:style w:type="character" w:customStyle="1" w:styleId="js-totalresults">
    <w:name w:val="js-total_results"/>
    <w:basedOn w:val="DefaultParagraphFont"/>
    <w:rsid w:val="005E5BF9"/>
  </w:style>
  <w:style w:type="character" w:customStyle="1" w:styleId="popupheader">
    <w:name w:val="popup_header"/>
    <w:basedOn w:val="DefaultParagraphFont"/>
    <w:rsid w:val="005E5BF9"/>
  </w:style>
  <w:style w:type="character" w:styleId="Strong">
    <w:name w:val="Strong"/>
    <w:basedOn w:val="DefaultParagraphFont"/>
    <w:uiPriority w:val="22"/>
    <w:qFormat/>
    <w:rsid w:val="005E5BF9"/>
    <w:rPr>
      <w:b/>
      <w:bCs/>
    </w:rPr>
  </w:style>
  <w:style w:type="character" w:customStyle="1" w:styleId="ui-helper-hidden-accessible">
    <w:name w:val="ui-helper-hidden-accessible"/>
    <w:basedOn w:val="DefaultParagraphFont"/>
    <w:rsid w:val="005E5BF9"/>
  </w:style>
  <w:style w:type="character" w:customStyle="1" w:styleId="checkboxinfo">
    <w:name w:val="checkbox_info"/>
    <w:basedOn w:val="DefaultParagraphFont"/>
    <w:rsid w:val="005E5BF9"/>
  </w:style>
  <w:style w:type="character" w:customStyle="1" w:styleId="switch">
    <w:name w:val="switch"/>
    <w:basedOn w:val="DefaultParagraphFont"/>
    <w:rsid w:val="005E5BF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5B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5BF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5B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5BF9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E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">
    <w:name w:val="message"/>
    <w:basedOn w:val="DefaultParagraphFont"/>
    <w:rsid w:val="005E5BF9"/>
  </w:style>
  <w:style w:type="character" w:customStyle="1" w:styleId="twitter-typeahead">
    <w:name w:val="twitter-typeahead"/>
    <w:basedOn w:val="DefaultParagraphFont"/>
    <w:rsid w:val="005E5BF9"/>
  </w:style>
  <w:style w:type="paragraph" w:styleId="HTMLPreformatted">
    <w:name w:val="HTML Preformatted"/>
    <w:basedOn w:val="Normal"/>
    <w:link w:val="HTMLPreformattedChar"/>
    <w:uiPriority w:val="99"/>
    <w:unhideWhenUsed/>
    <w:rsid w:val="005E5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5BF9"/>
    <w:rPr>
      <w:rFonts w:ascii="Courier New" w:eastAsia="Times New Roman" w:hAnsi="Courier New" w:cs="Courier New"/>
      <w:sz w:val="20"/>
      <w:szCs w:val="20"/>
    </w:rPr>
  </w:style>
  <w:style w:type="character" w:customStyle="1" w:styleId="rectimer">
    <w:name w:val="rec_timer"/>
    <w:basedOn w:val="DefaultParagraphFont"/>
    <w:rsid w:val="005E5BF9"/>
  </w:style>
  <w:style w:type="character" w:styleId="Emphasis">
    <w:name w:val="Emphasis"/>
    <w:basedOn w:val="DefaultParagraphFont"/>
    <w:uiPriority w:val="20"/>
    <w:qFormat/>
    <w:rsid w:val="005E5BF9"/>
    <w:rPr>
      <w:i/>
      <w:iCs/>
    </w:rPr>
  </w:style>
  <w:style w:type="character" w:customStyle="1" w:styleId="close">
    <w:name w:val="close"/>
    <w:basedOn w:val="DefaultParagraphFont"/>
    <w:rsid w:val="005E5BF9"/>
  </w:style>
  <w:style w:type="character" w:customStyle="1" w:styleId="titluact">
    <w:name w:val="titluact"/>
    <w:basedOn w:val="DefaultParagraphFont"/>
    <w:rsid w:val="005E5BF9"/>
  </w:style>
  <w:style w:type="paragraph" w:styleId="BalloonText">
    <w:name w:val="Balloon Text"/>
    <w:basedOn w:val="Normal"/>
    <w:link w:val="BalloonTextChar"/>
    <w:uiPriority w:val="99"/>
    <w:semiHidden/>
    <w:unhideWhenUsed/>
    <w:rsid w:val="005E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2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0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6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68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1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3000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  <w:divsChild>
                <w:div w:id="16537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</w:div>
                <w:div w:id="5990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2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e2dknrrge2dm/legea-nr-360-2023-privind-sistemul-public-de-pensii?pid=551280903&amp;d=2025-05-22" TargetMode="External"/><Relationship Id="rId13" Type="http://schemas.openxmlformats.org/officeDocument/2006/relationships/control" Target="activeX/activeX1.xml"/><Relationship Id="rId18" Type="http://schemas.openxmlformats.org/officeDocument/2006/relationships/hyperlink" Target="https://lege5.ro/App/DocsKeywor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e5.ro/App/Document/ge2dknrrge2dm/legea-nr-360-2023-privind-sistemul-public-de-pensii?pid=551280897&amp;d=2025-05-22" TargetMode="Externa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ge5.ro/App/Document/ge2dknrrge2dm/legea-nr-360-2023-privind-sistemul-public-de-pensii?pid=551280209&amp;d=2025-05-22" TargetMode="External"/><Relationship Id="rId11" Type="http://schemas.openxmlformats.org/officeDocument/2006/relationships/hyperlink" Target="https://lege5.ro/App/Document/ge2dknrrge2dm/legea-nr-360-2023-privind-sistemul-public-de-pensii" TargetMode="External"/><Relationship Id="rId5" Type="http://schemas.openxmlformats.org/officeDocument/2006/relationships/hyperlink" Target="https://lege5.ro/App/Document/ge2dknrrge2dm/legea-nr-360-2023-privind-sistemul-public-de-pensii?pid=551280204&amp;d=2025-05-22" TargetMode="External"/><Relationship Id="rId15" Type="http://schemas.openxmlformats.org/officeDocument/2006/relationships/control" Target="activeX/activeX2.xml"/><Relationship Id="rId10" Type="http://schemas.openxmlformats.org/officeDocument/2006/relationships/hyperlink" Target="https://lege5.ro/App/Document/ge2dknrrge2dm/legea-nr-360-2023-privind-sistemul-public-de-pensi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e5.ro/App/Document/ge2dknrrge2dm/legea-nr-360-2023-privind-sistemul-public-de-pensii" TargetMode="External"/><Relationship Id="rId14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1060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casadepensii casadepensii</dc:creator>
  <cp:lastModifiedBy>casadepensii casadepensii</cp:lastModifiedBy>
  <cp:revision>1</cp:revision>
  <dcterms:created xsi:type="dcterms:W3CDTF">2025-05-22T07:44:00Z</dcterms:created>
  <dcterms:modified xsi:type="dcterms:W3CDTF">2025-05-22T07:46:00Z</dcterms:modified>
</cp:coreProperties>
</file>